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江门市食品用塑料膜（袋）</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widowControl/>
        <w:spacing w:line="360" w:lineRule="auto"/>
        <w:ind w:firstLine="420" w:firstLineChars="200"/>
        <w:jc w:val="left"/>
        <w:rPr>
          <w:rFonts w:hint="eastAsia" w:ascii="宋体" w:hAnsi="宋体"/>
          <w:color w:val="000000"/>
          <w:szCs w:val="21"/>
        </w:rPr>
      </w:pPr>
    </w:p>
    <w:p>
      <w:pPr>
        <w:widowControl/>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本细则适用于江门市生产环节中食品接触用塑料膜（袋）的市级监督抽查。</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1、抽样方法</w:t>
      </w:r>
    </w:p>
    <w:p>
      <w:pPr>
        <w:snapToGrid w:val="0"/>
        <w:spacing w:line="440" w:lineRule="exact"/>
        <w:ind w:firstLine="420" w:firstLineChars="200"/>
        <w:rPr>
          <w:rFonts w:eastAsia="黑体"/>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color w:val="000000"/>
          <w:szCs w:val="21"/>
        </w:rPr>
      </w:pPr>
      <w:r>
        <w:rPr>
          <w:rFonts w:hint="eastAsia"/>
          <w:color w:val="000000"/>
          <w:szCs w:val="21"/>
        </w:rPr>
        <w:t>膜类产品：</w:t>
      </w:r>
      <w:r>
        <w:rPr>
          <w:color w:val="000000"/>
          <w:szCs w:val="21"/>
        </w:rPr>
        <w:t>每批次产品抽取样品</w:t>
      </w:r>
      <w:r>
        <w:rPr>
          <w:rFonts w:hint="eastAsia"/>
          <w:color w:val="000000"/>
          <w:szCs w:val="21"/>
        </w:rPr>
        <w:t>3卷，将每卷膜外层除去2m，每卷膜各抽取2.5m</w:t>
      </w:r>
      <w:r>
        <w:rPr>
          <w:rFonts w:hint="eastAsia"/>
          <w:color w:val="000000"/>
          <w:szCs w:val="21"/>
          <w:vertAlign w:val="superscript"/>
        </w:rPr>
        <w:t>2</w:t>
      </w:r>
      <w:r>
        <w:rPr>
          <w:rFonts w:hint="eastAsia"/>
          <w:color w:val="000000"/>
          <w:szCs w:val="21"/>
        </w:rPr>
        <w:t>×2，平均分为2份，其中1份作为检验样品，1份</w:t>
      </w:r>
      <w:r>
        <w:rPr>
          <w:rFonts w:hint="eastAsia" w:ascii="宋体" w:hAnsi="宋体"/>
          <w:szCs w:val="21"/>
        </w:rPr>
        <w:t>作为备用样品</w:t>
      </w:r>
      <w:r>
        <w:rPr>
          <w:rFonts w:hint="eastAsia"/>
          <w:color w:val="000000"/>
          <w:szCs w:val="21"/>
        </w:rPr>
        <w:t xml:space="preserve">； </w:t>
      </w:r>
    </w:p>
    <w:p>
      <w:pPr>
        <w:snapToGrid w:val="0"/>
        <w:spacing w:line="440" w:lineRule="exact"/>
        <w:ind w:firstLine="420" w:firstLineChars="200"/>
        <w:rPr>
          <w:color w:val="000000"/>
          <w:szCs w:val="21"/>
        </w:rPr>
      </w:pPr>
      <w:r>
        <w:rPr>
          <w:rFonts w:hint="eastAsia"/>
          <w:color w:val="000000"/>
          <w:szCs w:val="21"/>
        </w:rPr>
        <w:t>袋类产品：</w:t>
      </w:r>
      <w:r>
        <w:rPr>
          <w:color w:val="000000"/>
          <w:szCs w:val="21"/>
        </w:rPr>
        <w:t>每批次产品抽取</w:t>
      </w:r>
      <w:r>
        <w:rPr>
          <w:rFonts w:hint="eastAsia"/>
          <w:color w:val="000000"/>
          <w:szCs w:val="21"/>
        </w:rPr>
        <w:t>从3箱中分别抽取30个×2（袋规格应不小于15cm×15cm），平均分为2份，其中30个×3作为检验样品，30个×3作为</w:t>
      </w:r>
      <w:r>
        <w:rPr>
          <w:rFonts w:hint="eastAsia" w:ascii="宋体" w:hAnsi="宋体"/>
          <w:szCs w:val="21"/>
        </w:rPr>
        <w:t>备用样品</w:t>
      </w:r>
      <w:r>
        <w:rPr>
          <w:rFonts w:hint="eastAsia"/>
          <w:color w:val="000000"/>
          <w:szCs w:val="21"/>
        </w:rPr>
        <w:t>；</w:t>
      </w:r>
      <w:r>
        <w:rPr>
          <w:color w:val="000000"/>
          <w:szCs w:val="21"/>
        </w:rPr>
        <w:t xml:space="preserve"> </w:t>
      </w:r>
    </w:p>
    <w:p>
      <w:pPr>
        <w:snapToGrid w:val="0"/>
        <w:spacing w:line="440" w:lineRule="exact"/>
        <w:ind w:firstLine="420" w:firstLineChars="200"/>
        <w:rPr>
          <w:color w:val="000000"/>
          <w:szCs w:val="21"/>
        </w:rPr>
      </w:pPr>
      <w:r>
        <w:rPr>
          <w:rFonts w:hint="eastAsia"/>
          <w:color w:val="000000"/>
          <w:szCs w:val="21"/>
        </w:rPr>
        <w:t>保鲜膜类产品：</w:t>
      </w:r>
      <w:r>
        <w:rPr>
          <w:color w:val="000000"/>
          <w:szCs w:val="21"/>
        </w:rPr>
        <w:t>每批次产品抽取样品</w:t>
      </w:r>
      <w:r>
        <w:rPr>
          <w:rFonts w:hint="eastAsia"/>
          <w:color w:val="000000"/>
          <w:szCs w:val="21"/>
        </w:rPr>
        <w:t>3卷，其中2卷作为检验样品，1卷作为备用样品。</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2、检验依据</w:t>
      </w:r>
    </w:p>
    <w:p>
      <w:pPr>
        <w:snapToGrid w:val="0"/>
        <w:spacing w:line="440" w:lineRule="exact"/>
        <w:ind w:firstLine="420" w:firstLineChars="200"/>
        <w:jc w:val="center"/>
        <w:rPr>
          <w:color w:val="000000"/>
          <w:szCs w:val="21"/>
        </w:rPr>
      </w:pPr>
      <w:r>
        <w:rPr>
          <w:rFonts w:hint="eastAsia"/>
          <w:color w:val="000000"/>
          <w:szCs w:val="21"/>
        </w:rPr>
        <w:t>表1  食品接触用塑料膜（袋）（非复合膜袋）检验项目</w:t>
      </w:r>
    </w:p>
    <w:tbl>
      <w:tblPr>
        <w:tblStyle w:val="4"/>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805"/>
        <w:gridCol w:w="1785"/>
        <w:gridCol w:w="207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感官要求</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 xml:space="preserve"> 浸泡液</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高锰酸钾消耗量</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4806.7-2016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31604.2-2016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总迁移量</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4806.7-2016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31604.8-2016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重金属（以Pb计）</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4806.7-2016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GB 31604.9-2016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6</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脱色试验</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4806.7-2016</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GB 31604.7-2016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仅适用添加了着色剂的产品</w:t>
            </w:r>
          </w:p>
        </w:tc>
      </w:tr>
    </w:tbl>
    <w:p>
      <w:pPr>
        <w:snapToGrid w:val="0"/>
        <w:spacing w:line="440" w:lineRule="exact"/>
        <w:rPr>
          <w:color w:val="000000"/>
          <w:szCs w:val="21"/>
        </w:rPr>
      </w:pPr>
    </w:p>
    <w:p>
      <w:pPr>
        <w:snapToGrid w:val="0"/>
        <w:spacing w:line="440" w:lineRule="exact"/>
        <w:ind w:firstLine="420" w:firstLineChars="200"/>
        <w:jc w:val="center"/>
        <w:rPr>
          <w:color w:val="000000"/>
          <w:szCs w:val="21"/>
        </w:rPr>
      </w:pPr>
      <w:r>
        <w:rPr>
          <w:rFonts w:hint="eastAsia"/>
          <w:color w:val="000000"/>
          <w:szCs w:val="21"/>
        </w:rPr>
        <w:t>表2  食品接触用塑料膜（袋）（复合膜袋）检验项目</w:t>
      </w:r>
    </w:p>
    <w:tbl>
      <w:tblPr>
        <w:tblStyle w:val="4"/>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805"/>
        <w:gridCol w:w="2345"/>
        <w:gridCol w:w="151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感官</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2</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袋装浸泡液</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3</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蒸发残渣4%乙酸</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5009.60</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4</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蒸发残渣正己烷</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5009.60</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5</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蒸发残渣65%乙醇</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5009.60</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6</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高锰酸钾消耗量（水）</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 xml:space="preserve">GB 9683 </w:t>
            </w:r>
          </w:p>
          <w:p>
            <w:pPr>
              <w:widowControl/>
              <w:jc w:val="center"/>
              <w:textAlignment w:val="center"/>
              <w:rPr>
                <w:rFonts w:cs="宋体"/>
                <w:szCs w:val="21"/>
              </w:rPr>
            </w:pPr>
            <w:r>
              <w:rPr>
                <w:rFonts w:hint="eastAsia" w:cs="宋体"/>
                <w:szCs w:val="21"/>
              </w:rPr>
              <w:t>GB 4806.7-2016</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5009.60</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7</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重金属（以Pb计）</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p>
            <w:pPr>
              <w:widowControl/>
              <w:jc w:val="center"/>
              <w:textAlignment w:val="center"/>
              <w:rPr>
                <w:rFonts w:cs="宋体"/>
                <w:szCs w:val="21"/>
              </w:rPr>
            </w:pPr>
            <w:r>
              <w:rPr>
                <w:rFonts w:hint="eastAsia" w:cs="宋体"/>
                <w:szCs w:val="21"/>
              </w:rPr>
              <w:t xml:space="preserve"> GB 4806.7-2016</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5009.60</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8</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甲苯二胺（4%乙酸）</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 9683</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5009.60</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9</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溶剂残留总量</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10004-2008/《生产许可证实施细则》/产品标准要求，生产过程中有印刷和胶黏剂复合工艺的产品（单膜印刷除外）,按GB/T 5009.119-2003检测</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10004</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cs="宋体"/>
                <w:szCs w:val="21"/>
              </w:rPr>
            </w:pPr>
            <w:r>
              <w:rPr>
                <w:rFonts w:hint="eastAsia" w:cs="宋体"/>
                <w:szCs w:val="21"/>
              </w:rPr>
              <w:t>10</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cs="宋体"/>
                <w:szCs w:val="21"/>
              </w:rPr>
            </w:pPr>
            <w:r>
              <w:rPr>
                <w:rFonts w:hint="eastAsia" w:cs="宋体"/>
                <w:szCs w:val="21"/>
              </w:rPr>
              <w:t>苯系物含量</w:t>
            </w:r>
          </w:p>
        </w:tc>
        <w:tc>
          <w:tcPr>
            <w:tcW w:w="2345"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10004-2008/《生产许可证实施细则》/产品标准要求</w:t>
            </w:r>
          </w:p>
        </w:tc>
        <w:tc>
          <w:tcPr>
            <w:tcW w:w="1513"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cs="宋体"/>
                <w:szCs w:val="21"/>
              </w:rPr>
            </w:pPr>
            <w:r>
              <w:rPr>
                <w:rFonts w:hint="eastAsia" w:cs="宋体"/>
                <w:szCs w:val="21"/>
              </w:rPr>
              <w:t>GB/T 10004</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outlineLvl w:val="0"/>
              <w:rPr>
                <w:rFonts w:cs="宋体"/>
                <w:szCs w:val="21"/>
              </w:rPr>
            </w:pPr>
            <w:r>
              <w:rPr>
                <w:rFonts w:hint="eastAsia" w:cs="宋体"/>
                <w:szCs w:val="21"/>
              </w:rPr>
              <w:t>/</w:t>
            </w:r>
          </w:p>
        </w:tc>
      </w:tr>
    </w:tbl>
    <w:p>
      <w:pPr>
        <w:adjustRightInd w:val="0"/>
        <w:snapToGrid w:val="0"/>
        <w:spacing w:line="360" w:lineRule="auto"/>
        <w:ind w:firstLine="420" w:firstLineChars="200"/>
        <w:rPr>
          <w:color w:val="000000"/>
          <w:szCs w:val="21"/>
        </w:rPr>
      </w:pPr>
    </w:p>
    <w:p>
      <w:pPr>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360" w:lineRule="auto"/>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rFonts w:hint="eastAsia"/>
          <w:b/>
          <w:color w:val="000000"/>
          <w:sz w:val="24"/>
        </w:rPr>
      </w:pPr>
    </w:p>
    <w:p>
      <w:pPr>
        <w:snapToGrid w:val="0"/>
        <w:spacing w:line="360" w:lineRule="auto"/>
        <w:rPr>
          <w:b/>
          <w:color w:val="000000"/>
          <w:sz w:val="24"/>
        </w:rPr>
      </w:pPr>
      <w:bookmarkStart w:id="1" w:name="_GoBack"/>
      <w:bookmarkEnd w:id="1"/>
      <w:r>
        <w:rPr>
          <w:rFonts w:hint="eastAsia"/>
          <w:b/>
          <w:color w:val="000000"/>
          <w:sz w:val="24"/>
        </w:rPr>
        <w:t>3、判定规则</w:t>
      </w:r>
    </w:p>
    <w:p>
      <w:pPr>
        <w:widowControl/>
        <w:spacing w:line="360" w:lineRule="auto"/>
        <w:jc w:val="left"/>
        <w:rPr>
          <w:rFonts w:ascii="仿宋_GB2312" w:hAnsi="仿宋_GB2312" w:eastAsia="仿宋_GB2312" w:cs="仿宋_GB2312"/>
          <w:kern w:val="0"/>
          <w:sz w:val="28"/>
          <w:szCs w:val="28"/>
        </w:rPr>
      </w:pPr>
      <w:r>
        <w:rPr>
          <w:rFonts w:hint="eastAsia" w:ascii="宋体" w:hAnsi="宋体"/>
          <w:color w:val="000000"/>
          <w:szCs w:val="21"/>
        </w:rPr>
        <w:t>3.1 依据标准</w:t>
      </w:r>
    </w:p>
    <w:p>
      <w:pPr>
        <w:widowControl/>
        <w:spacing w:line="360" w:lineRule="auto"/>
        <w:ind w:firstLine="420" w:firstLineChars="200"/>
        <w:jc w:val="left"/>
        <w:rPr>
          <w:rFonts w:ascii="宋体" w:hAnsi="宋体"/>
          <w:color w:val="000000"/>
          <w:szCs w:val="21"/>
        </w:rPr>
      </w:pPr>
      <w:r>
        <w:rPr>
          <w:rFonts w:ascii="宋体" w:hAnsi="宋体"/>
          <w:color w:val="000000"/>
          <w:szCs w:val="21"/>
        </w:rPr>
        <w:t xml:space="preserve">GB 4806.1-2016 </w:t>
      </w:r>
      <w:r>
        <w:rPr>
          <w:rFonts w:hint="eastAsia" w:ascii="宋体" w:hAnsi="宋体"/>
          <w:color w:val="000000"/>
          <w:szCs w:val="21"/>
        </w:rPr>
        <w:t>食品安全国家标准食品接触材料及制品通用安全要求》</w:t>
      </w:r>
    </w:p>
    <w:p>
      <w:pPr>
        <w:widowControl/>
        <w:spacing w:line="360" w:lineRule="auto"/>
        <w:ind w:firstLine="420" w:firstLineChars="200"/>
        <w:jc w:val="left"/>
        <w:rPr>
          <w:rFonts w:ascii="宋体" w:hAnsi="宋体"/>
          <w:color w:val="000000"/>
          <w:szCs w:val="21"/>
        </w:rPr>
      </w:pPr>
      <w:r>
        <w:rPr>
          <w:rFonts w:ascii="宋体" w:hAnsi="宋体"/>
          <w:color w:val="000000"/>
          <w:szCs w:val="21"/>
        </w:rPr>
        <w:t>GB 4806.6-2016</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食品接触用塑料树脂</w:t>
      </w:r>
    </w:p>
    <w:p>
      <w:pPr>
        <w:widowControl/>
        <w:spacing w:line="360" w:lineRule="auto"/>
        <w:ind w:firstLine="420" w:firstLineChars="200"/>
        <w:jc w:val="left"/>
        <w:rPr>
          <w:rFonts w:ascii="宋体" w:hAnsi="宋体"/>
          <w:color w:val="000000"/>
          <w:szCs w:val="21"/>
        </w:rPr>
      </w:pPr>
      <w:r>
        <w:rPr>
          <w:rFonts w:ascii="宋体" w:hAnsi="宋体"/>
          <w:color w:val="000000"/>
          <w:szCs w:val="21"/>
        </w:rPr>
        <w:t xml:space="preserve">GB 4806.7-2016 </w:t>
      </w:r>
      <w:r>
        <w:rPr>
          <w:rFonts w:hint="eastAsia" w:ascii="宋体" w:hAnsi="宋体"/>
          <w:color w:val="000000"/>
          <w:szCs w:val="21"/>
        </w:rPr>
        <w:t>食品安全国家标准</w:t>
      </w:r>
      <w:r>
        <w:rPr>
          <w:rFonts w:ascii="宋体" w:hAnsi="宋体"/>
          <w:color w:val="000000"/>
          <w:szCs w:val="21"/>
        </w:rPr>
        <w:t xml:space="preserve"> </w:t>
      </w:r>
      <w:r>
        <w:rPr>
          <w:rFonts w:hint="eastAsia" w:ascii="宋体" w:hAnsi="宋体"/>
          <w:color w:val="000000"/>
          <w:szCs w:val="21"/>
        </w:rPr>
        <w:t>食品接触材料及制品</w:t>
      </w:r>
    </w:p>
    <w:p>
      <w:pPr>
        <w:widowControl/>
        <w:spacing w:line="360" w:lineRule="auto"/>
        <w:ind w:firstLine="420" w:firstLineChars="200"/>
        <w:jc w:val="left"/>
        <w:rPr>
          <w:rFonts w:ascii="宋体" w:hAnsi="宋体"/>
          <w:color w:val="000000"/>
          <w:szCs w:val="21"/>
        </w:rPr>
      </w:pPr>
      <w:r>
        <w:rPr>
          <w:rFonts w:ascii="宋体" w:hAnsi="宋体"/>
          <w:color w:val="000000"/>
          <w:szCs w:val="21"/>
        </w:rPr>
        <w:t>GB 9683-1988</w:t>
      </w:r>
      <w:r>
        <w:rPr>
          <w:rFonts w:hint="eastAsia" w:ascii="宋体" w:hAnsi="宋体"/>
          <w:color w:val="000000"/>
          <w:szCs w:val="21"/>
        </w:rPr>
        <w:t>《复合食品包装袋卫生标准》</w:t>
      </w:r>
    </w:p>
    <w:p>
      <w:pPr>
        <w:widowControl/>
        <w:spacing w:line="360" w:lineRule="auto"/>
        <w:ind w:firstLine="420" w:firstLineChars="200"/>
        <w:jc w:val="left"/>
        <w:rPr>
          <w:rFonts w:ascii="宋体" w:hAnsi="宋体"/>
          <w:color w:val="000000"/>
          <w:szCs w:val="21"/>
        </w:rPr>
      </w:pPr>
      <w:r>
        <w:rPr>
          <w:rFonts w:ascii="宋体" w:hAnsi="宋体"/>
          <w:color w:val="000000"/>
          <w:szCs w:val="21"/>
        </w:rPr>
        <w:t>GB/T 10004-2008</w:t>
      </w:r>
      <w:r>
        <w:rPr>
          <w:rFonts w:hint="eastAsia" w:ascii="宋体" w:hAnsi="宋体"/>
          <w:color w:val="000000"/>
          <w:szCs w:val="21"/>
        </w:rPr>
        <w:t>《包装用塑料复合膜、袋</w:t>
      </w:r>
      <w:r>
        <w:rPr>
          <w:rFonts w:ascii="宋体" w:hAnsi="宋体"/>
          <w:color w:val="000000"/>
          <w:szCs w:val="21"/>
        </w:rPr>
        <w:t xml:space="preserve"> </w:t>
      </w:r>
      <w:r>
        <w:rPr>
          <w:rFonts w:hint="eastAsia" w:ascii="宋体" w:hAnsi="宋体"/>
          <w:color w:val="000000"/>
          <w:szCs w:val="21"/>
        </w:rPr>
        <w:t>干法复合、挤出复合》</w:t>
      </w:r>
    </w:p>
    <w:p>
      <w:pPr>
        <w:widowControl/>
        <w:spacing w:line="360" w:lineRule="auto"/>
        <w:ind w:firstLine="420" w:firstLineChars="200"/>
        <w:jc w:val="left"/>
        <w:rPr>
          <w:rFonts w:ascii="宋体" w:hAnsi="宋体"/>
          <w:color w:val="000000"/>
          <w:szCs w:val="21"/>
        </w:rPr>
      </w:pPr>
      <w:r>
        <w:rPr>
          <w:rFonts w:ascii="宋体" w:hAnsi="宋体"/>
          <w:color w:val="000000"/>
          <w:szCs w:val="21"/>
        </w:rPr>
        <w:t>GB 9685-2008</w:t>
      </w:r>
      <w:r>
        <w:rPr>
          <w:rFonts w:hint="eastAsia" w:ascii="宋体" w:hAnsi="宋体"/>
          <w:color w:val="000000"/>
          <w:szCs w:val="21"/>
        </w:rPr>
        <w:t>食品容器、包装材料用添加剂使用卫生标准</w:t>
      </w:r>
    </w:p>
    <w:p>
      <w:pPr>
        <w:widowControl/>
        <w:spacing w:line="360" w:lineRule="auto"/>
        <w:ind w:firstLine="420" w:firstLineChars="200"/>
        <w:jc w:val="left"/>
        <w:rPr>
          <w:rFonts w:ascii="宋体" w:hAnsi="宋体"/>
          <w:color w:val="000000"/>
          <w:szCs w:val="21"/>
        </w:rPr>
      </w:pPr>
      <w:bookmarkStart w:id="0" w:name="OLE_LINK2"/>
      <w:r>
        <w:rPr>
          <w:rFonts w:hint="eastAsia" w:ascii="宋体" w:hAnsi="宋体"/>
          <w:color w:val="000000"/>
          <w:szCs w:val="21"/>
        </w:rPr>
        <w:t>《食品相关产品生产许可实施细则（一）食品用塑料包装容器工具等制品部分》</w:t>
      </w:r>
      <w:bookmarkEnd w:id="0"/>
    </w:p>
    <w:p>
      <w:pPr>
        <w:widowControl/>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现行有效的企业标准、团体标准、地方标准及产品明示质量要求</w:t>
      </w:r>
    </w:p>
    <w:p>
      <w:pPr>
        <w:snapToGrid w:val="0"/>
        <w:spacing w:line="440" w:lineRule="exact"/>
        <w:outlineLvl w:val="0"/>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经检验，检验项目全部合格，判定为被抽查产品合格；检验项目中任一项或一项以上不合格，判定为被抽查产品不合格。</w:t>
      </w:r>
    </w:p>
    <w:p>
      <w:pPr>
        <w:snapToGrid w:val="0"/>
        <w:spacing w:line="440" w:lineRule="exact"/>
        <w:ind w:firstLine="420" w:firstLineChars="200"/>
        <w:rPr>
          <w:color w:val="000000"/>
          <w:szCs w:val="21"/>
        </w:rPr>
      </w:pPr>
      <w:r>
        <w:rPr>
          <w:color w:val="000000"/>
          <w:szCs w:val="21"/>
        </w:rPr>
        <w:t>若被检产品明示的质量要求高于本细则中检验项目依据的标准要求时，应按被检产品明示的质量要求判定（苯类溶剂残留量除外）。</w:t>
      </w:r>
    </w:p>
    <w:p>
      <w:pPr>
        <w:snapToGrid w:val="0"/>
        <w:spacing w:line="440" w:lineRule="exact"/>
        <w:ind w:firstLine="420" w:firstLineChars="200"/>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ind w:firstLine="420" w:firstLineChars="200"/>
        <w:rPr>
          <w:color w:val="000000"/>
          <w:szCs w:val="21"/>
        </w:rPr>
      </w:pPr>
      <w:r>
        <w:rPr>
          <w:color w:val="000000"/>
          <w:szCs w:val="21"/>
        </w:rPr>
        <w:t>因溶剂残留量（溶剂残留量总量和苯类溶剂）易挥发、不稳定等特点，长期存放影响其残留本体含量，故溶剂残留量（溶剂残留量总量和苯类溶剂）项目不合格不进行复检。</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4521526"/>
      <w:docPartObj>
        <w:docPartGallery w:val="autotext"/>
      </w:docPartObj>
    </w:sdtPr>
    <w:sdtContent>
      <w:p>
        <w:pPr>
          <w:pStyle w:val="2"/>
          <w:jc w:val="right"/>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0FF9"/>
    <w:rsid w:val="002C7072"/>
    <w:rsid w:val="004D2989"/>
    <w:rsid w:val="00550B27"/>
    <w:rsid w:val="005A31A1"/>
    <w:rsid w:val="00665668"/>
    <w:rsid w:val="006E0B0F"/>
    <w:rsid w:val="00780562"/>
    <w:rsid w:val="009F4DFE"/>
    <w:rsid w:val="00BD098B"/>
    <w:rsid w:val="00DD0FF9"/>
    <w:rsid w:val="00EC3947"/>
    <w:rsid w:val="00EF59F1"/>
    <w:rsid w:val="00FF2195"/>
    <w:rsid w:val="294B2DA7"/>
    <w:rsid w:val="336321F2"/>
    <w:rsid w:val="5FD1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280</Words>
  <Characters>1598</Characters>
  <Lines>13</Lines>
  <Paragraphs>3</Paragraphs>
  <TotalTime>1</TotalTime>
  <ScaleCrop>false</ScaleCrop>
  <LinksUpToDate>false</LinksUpToDate>
  <CharactersWithSpaces>1875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2019-07-12T00:29:00Z</dcterms:created>
  <dc:creator>陈卓辉</dc:creator>
  <cp:lastModifiedBy>陈卓辉</cp:lastModifiedBy>
  <dcterms:modified xsi:type="dcterms:W3CDTF">2021-07-12T04:43:14Z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